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E6471C" w:rsidRPr="00E6471C" w:rsidRDefault="007035E5" w:rsidP="00E6471C">
      <w:pPr>
        <w:jc w:val="center"/>
      </w:pPr>
      <w:r w:rsidRPr="00E6471C">
        <w:t>The Criminal Justice Policy Process</w:t>
      </w:r>
    </w:p>
    <w:p w:rsidR="006E645A" w:rsidRPr="009F53D9" w:rsidRDefault="007035E5" w:rsidP="00B063BC">
      <w:pPr>
        <w:jc w:val="center"/>
      </w:pPr>
      <w:r w:rsidRPr="009F53D9">
        <w:t>Name</w:t>
      </w:r>
    </w:p>
    <w:p w:rsidR="006E645A" w:rsidRPr="009F53D9" w:rsidRDefault="007035E5" w:rsidP="00B063BC">
      <w:pPr>
        <w:jc w:val="center"/>
      </w:pPr>
      <w:r w:rsidRPr="009F53D9">
        <w:t>Institution</w:t>
      </w:r>
    </w:p>
    <w:p w:rsidR="006E645A" w:rsidRPr="009F53D9" w:rsidRDefault="007035E5" w:rsidP="00B063BC">
      <w:pPr>
        <w:jc w:val="center"/>
      </w:pPr>
      <w:r w:rsidRPr="009F53D9">
        <w:t>Date</w:t>
      </w:r>
    </w:p>
    <w:p w:rsidR="006E645A" w:rsidRPr="009F53D9" w:rsidRDefault="007035E5" w:rsidP="00B063BC">
      <w:r w:rsidRPr="009F53D9">
        <w:br w:type="page"/>
      </w:r>
    </w:p>
    <w:p w:rsidR="00D665DD" w:rsidRPr="00E6471C" w:rsidRDefault="007035E5" w:rsidP="00B063BC">
      <w:pPr>
        <w:jc w:val="center"/>
      </w:pPr>
      <w:r w:rsidRPr="00E6471C">
        <w:lastRenderedPageBreak/>
        <w:t xml:space="preserve">The Criminal Justice </w:t>
      </w:r>
      <w:r w:rsidR="004B0B3D" w:rsidRPr="00E6471C">
        <w:t xml:space="preserve">Policy </w:t>
      </w:r>
      <w:r w:rsidRPr="00E6471C">
        <w:t>Process</w:t>
      </w:r>
    </w:p>
    <w:p w:rsidR="009F1151" w:rsidRPr="009F1151" w:rsidRDefault="007035E5" w:rsidP="009F1151">
      <w:pPr>
        <w:jc w:val="center"/>
        <w:rPr>
          <w:b/>
        </w:rPr>
      </w:pPr>
      <w:r w:rsidRPr="009F53D9">
        <w:rPr>
          <w:b/>
        </w:rPr>
        <w:t>Introduction</w:t>
      </w:r>
    </w:p>
    <w:p w:rsidR="009F1151" w:rsidRDefault="009F1151" w:rsidP="009F1151">
      <w:pPr>
        <w:ind w:firstLine="720"/>
      </w:pPr>
      <w:r>
        <w:t>The rise of criminal and offensive activities in our society calls for a system to control them in a just and fair manner. In the US, criminal justice is put in place to identify and prevent further occurrence of unlawful activities. The decisions made in the process of attaining criminal justice are governed by laws such as the U.S.A Constitution, the Federal Rule of Criminal Investigations as well as the Bill of Rights (Ismaili, 2006). However, the results of the process involved in attaining criminal justice have always been criticized by criminologists and some members of the public. This is attributed to the lack of knowledge on the background of policy design in criminal justice. It is, therefore, becoming necessary for criminologists and the public to advance their understanding of the process involved in policy-making to avoid conflicts with actors of criminal justice (Ismaili, 2006).</w:t>
      </w:r>
    </w:p>
    <w:p w:rsidR="009F1151" w:rsidRPr="009F1151" w:rsidRDefault="009F1151" w:rsidP="009F1151">
      <w:pPr>
        <w:ind w:firstLine="720"/>
        <w:jc w:val="center"/>
        <w:rPr>
          <w:b/>
        </w:rPr>
      </w:pPr>
      <w:r w:rsidRPr="009F1151">
        <w:rPr>
          <w:b/>
        </w:rPr>
        <w:t>Criminal Justice Policy Process Actors.</w:t>
      </w:r>
    </w:p>
    <w:p w:rsidR="009F1151" w:rsidRDefault="009F1151" w:rsidP="009F1151">
      <w:pPr>
        <w:ind w:firstLine="720"/>
      </w:pPr>
      <w:r>
        <w:t>The process in Criminal Justice involves essential representatives from a given community. These actors are divided into governmental and non-governmental actors. The governmental actors are characterized by having more power at a political level. These actors include some elected members such as the president and state officials. These actors are also made up of officials from all levels of government to represent different geographic aspects in the policy process (Marion, 2016). The governmental actors also include the judicial representatives who are not directly involved but play a key role in translating the laws. Ismaili (2006) argues that "judges are also involved at the governmental level and are tasked to provide advice to the government regarding the laws involved in policy formulation."</w:t>
      </w:r>
    </w:p>
    <w:p w:rsidR="009F1151" w:rsidRDefault="009F1151" w:rsidP="009F1151">
      <w:pPr>
        <w:ind w:firstLine="720"/>
      </w:pPr>
      <w:r>
        <w:t xml:space="preserve">On the other hand, non-governmental actors encompass members of the public who hold high interest and knowledge in criminal justice policy. These actors include; criminal </w:t>
      </w:r>
      <w:r>
        <w:lastRenderedPageBreak/>
        <w:t xml:space="preserve">justice professionals, the media, and representatives from police and correction departments. As Ismaili (2006), notes, "different parties are involved in embracing diverse cultures and political views." The nongovernmental actors play the role of creating a link between the government and the public. They present and consider the interest of the people when making a decision on criminal justice. </w:t>
      </w:r>
    </w:p>
    <w:p w:rsidR="009F1151" w:rsidRDefault="009F1151" w:rsidP="009F1151">
      <w:pPr>
        <w:ind w:firstLine="720"/>
      </w:pPr>
      <w:r>
        <w:t xml:space="preserve">Through the media, these actors also contribute to passing information regarding the policy to the public. Media outlets such as radios, newspapers, websites, and televisions are used to inform the public on criminal issues that arise and such content provides the public with an understanding of the real-world situation in term of laws, legislations, and </w:t>
      </w:r>
      <w:r w:rsidR="009712E6">
        <w:t>policies (</w:t>
      </w:r>
      <w:r>
        <w:t xml:space="preserve">Marion, 2016). The public then uses this knowledge to support the decisions made regarding the criminal justice policy. Also, media outlets ensure that the public is educated on the policy in a manner that they can understand and are also responsible for participating in resolving disputes that may arise during the implementation of the policy. </w:t>
      </w:r>
    </w:p>
    <w:p w:rsidR="009F1151" w:rsidRDefault="009F1151" w:rsidP="009F1151">
      <w:pPr>
        <w:ind w:firstLine="720"/>
      </w:pPr>
      <w:r>
        <w:t>According to Marion, (2016), "the relationship between the government and non-government actors is vital to ensure the effectiveness of the criminal justice policy." The two actors contribute different and essential roles that should be integrated in a manner that avoids conflicts. In my opinion, such conflicts can be prevented from the beginning by encouraging interest groups to understand how the government works to distinguish their roles. The government plays the role of contributing to opinions and providing support for the policy process. The criminal justice professionals who are part of the non-governmental actors then provide their critics and expert opinions regarding the policy. In addition, the media plays the role of influencing aspect of the policy to the public and hence, it should participate by influencing the decisions of the government to the public (Stolz, 2015).</w:t>
      </w:r>
    </w:p>
    <w:p w:rsidR="009F1151" w:rsidRDefault="009F1151" w:rsidP="009F1151">
      <w:pPr>
        <w:ind w:firstLine="720"/>
      </w:pPr>
    </w:p>
    <w:p w:rsidR="009F1151" w:rsidRPr="009F1151" w:rsidRDefault="009F1151" w:rsidP="009F1151">
      <w:pPr>
        <w:ind w:firstLine="720"/>
        <w:jc w:val="center"/>
        <w:rPr>
          <w:b/>
        </w:rPr>
      </w:pPr>
      <w:r w:rsidRPr="009F1151">
        <w:rPr>
          <w:b/>
        </w:rPr>
        <w:lastRenderedPageBreak/>
        <w:t>The Steps Involved in the Process</w:t>
      </w:r>
    </w:p>
    <w:p w:rsidR="009F1151" w:rsidRDefault="009F1151" w:rsidP="009F1151">
      <w:pPr>
        <w:ind w:firstLine="720"/>
      </w:pPr>
      <w:r>
        <w:t xml:space="preserve"> Different scholars have tried to elaborate on the steps involved in policy formation. Perhaps the best and simple elaboration of the policy process was the one developed by Stone in 2015. According to Stone (2015), the first step involves identifying and defining the problem to understand the objective. This is followed by analyzing different alternatives to achieve the objective. After the analysis step, the outcomes for each alternative should be noted to identify the best option based on the cost and efficiency of the resources required at different levels. A decision is then made based on the alternative that is most reasonable and cost-effective. In addition to the process, different actors should be involved in the first stage to represent various interest groups (Ismaili, 2006). </w:t>
      </w:r>
    </w:p>
    <w:p w:rsidR="009F1151" w:rsidRDefault="009F1151" w:rsidP="009F1151">
      <w:pPr>
        <w:ind w:firstLine="720"/>
      </w:pPr>
      <w:r>
        <w:t xml:space="preserve"> Successful implementation of the criminal justice policy is influenced by the process followed during its formulation (Stolz, 2015). The impact is felt from the first step of identifying the objective of the policy. These problems should capture current issues such as high rate of incarceration, drug abuse, and violence against women. Ismaili (2006) argues that "the implementation should be comprehensive to capture all aspects that promote justice in solving crimes." To achieve success, the policy should ensure diversity in the committee involved in each step. For instance, since one of the primary objective of the process is to ensure the application of justice during implementation, representatives from the police (who are directly involved in this stage) should be included.</w:t>
      </w:r>
    </w:p>
    <w:p w:rsidR="009F1151" w:rsidRPr="009F1151" w:rsidRDefault="009F1151" w:rsidP="009F1151">
      <w:pPr>
        <w:ind w:firstLine="720"/>
        <w:jc w:val="center"/>
        <w:rPr>
          <w:b/>
        </w:rPr>
      </w:pPr>
      <w:r w:rsidRPr="009F1151">
        <w:rPr>
          <w:b/>
        </w:rPr>
        <w:t>Suggestions to Improve the Process.</w:t>
      </w:r>
    </w:p>
    <w:p w:rsidR="009F1151" w:rsidRDefault="009F1151" w:rsidP="009F1151">
      <w:pPr>
        <w:ind w:firstLine="720"/>
      </w:pPr>
      <w:r>
        <w:t xml:space="preserve"> The first step of the process involves defining a problem. During this stage, an in-depth analysis of the problem should be done based on real-life challenges in crime such as high incarceration rates. In my opinion, I would suggest that the intensity of analysis is required to gain extensive information about problems. This can be achieved by involving a </w:t>
      </w:r>
      <w:r>
        <w:lastRenderedPageBreak/>
        <w:t xml:space="preserve">wide array of researchers and experts who are knowledgeable in criminal justice operations (Mansour, 2010). Identification of the target population is also required when defining a problem to ensure the best decision is met. </w:t>
      </w:r>
    </w:p>
    <w:p w:rsidR="009F1151" w:rsidRDefault="009F1151" w:rsidP="009F1151">
      <w:pPr>
        <w:ind w:firstLine="720"/>
      </w:pPr>
      <w:r>
        <w:t>During the next step on evaluation, different alternatives should be based on the problem identified in the first stage. Mansour, (2010) argues that "the list of alternatives should be linked to the core objective of the criminal justice policy." In addition, to effectively break down the other options, it is crucial to analyze factors that led to the rise of the problem at hand. For instance, high incarceration may have resulted from the failure of re-entry of former prisoners. Therefore, the alternatives will be broken down based on solutions that also aim at improving re-entry programs. This stage should also encompass various professions ranging from the department of criminology to social scientists and lawyers (Stolz, 2015).</w:t>
      </w:r>
    </w:p>
    <w:p w:rsidR="009F1151" w:rsidRDefault="009F1151" w:rsidP="009F1151">
      <w:pPr>
        <w:ind w:firstLine="720"/>
      </w:pPr>
      <w:r>
        <w:t>Also, when choosing the best option, the process should ensure the goal of equality is met when administering justice. All members of the public including the marginalized groups such as women, children, the disabled and the poor should be considered when making the policy. The decision should also seek to ensure efficient utilization of resources (Mansour2010). For example, the policy can focus on programs such as promoting re-entry of ex-offenders to reduce the number of these victims returning to prison. Just as Mansour (2010) hints, "the policy of re-entry will aid in reducing the number of inmates in prisons and reduce the economic burden of supporting them." Re-entry programs will also equip the community with an increase in the labour market which will eventually ensure the economic prosperity of the nation. Mansour (2010), also adds that "the reasoning behind the final decision of the policy should be based on logic."</w:t>
      </w:r>
    </w:p>
    <w:p w:rsidR="009F1151" w:rsidRDefault="009F1151" w:rsidP="009F1151">
      <w:pPr>
        <w:ind w:firstLine="720"/>
      </w:pPr>
      <w:r>
        <w:lastRenderedPageBreak/>
        <w:t xml:space="preserve">In addition, to inform the public, the media should also be involved. Successful implementation of the policy is based on how the public reacts to systems and the existing policies. Positive feedback can be stimulated by making the policy understandable as well as incorporating the views of the public in the policy. Public understanding and acceptance of the policy aid in reducing conflicts that may arise regarding the decisions made by criminal justice actors. Public understanding also helps in minimizing criticism on decisions made by the police and judges. According to Marion (2016), "it is necessary for the federal and state government in all geographic boundaries of the U.S to be involved when formulating policies." It is also clear that the relationship between the actors involved in policy-making affects the quality of the policy (Ismaili, 2006). It is, therefore, necessary to establish clear roles of each group in every step of the process to avoid disputes and delays. </w:t>
      </w:r>
    </w:p>
    <w:p w:rsidR="009F1151" w:rsidRPr="009F1151" w:rsidRDefault="009F1151" w:rsidP="009F1151">
      <w:pPr>
        <w:ind w:firstLine="720"/>
        <w:jc w:val="center"/>
        <w:rPr>
          <w:b/>
        </w:rPr>
      </w:pPr>
      <w:r w:rsidRPr="009F1151">
        <w:rPr>
          <w:b/>
        </w:rPr>
        <w:t>Conclusion</w:t>
      </w:r>
    </w:p>
    <w:p w:rsidR="009F1151" w:rsidRDefault="009F1151" w:rsidP="009F1151">
      <w:pPr>
        <w:ind w:firstLine="720"/>
      </w:pPr>
      <w:r>
        <w:t xml:space="preserve"> From the discussion above, it can be determined that for a better understanding and practice of criminology and criminal justice aspects, it essential for the scholars to research more on the policy-making process. It is also noted that an effective criminal justice policy is achieved when the actors involved stretching across diverse sectors (Stolz, 2015). The media should also play its role in informing the public of the process involved in making the policy, and such information will ensure the active practice of the policy and minimize costs that may be incurred in trying to solve preventable disputes. </w:t>
      </w:r>
    </w:p>
    <w:p w:rsidR="00C63C77" w:rsidRDefault="009F1151" w:rsidP="009F1151">
      <w:pPr>
        <w:ind w:firstLine="720"/>
      </w:pPr>
      <w:r>
        <w:t xml:space="preserve"> </w:t>
      </w:r>
      <w:r w:rsidR="00453D48">
        <w:t xml:space="preserve"> </w:t>
      </w:r>
    </w:p>
    <w:p w:rsidR="00B34D51" w:rsidRDefault="00B34D51" w:rsidP="001A2D17">
      <w:pPr>
        <w:ind w:firstLine="720"/>
      </w:pPr>
    </w:p>
    <w:p w:rsidR="00B34D51" w:rsidRDefault="00B34D51" w:rsidP="001A2D17">
      <w:pPr>
        <w:ind w:firstLine="720"/>
      </w:pPr>
    </w:p>
    <w:p w:rsidR="001448AE" w:rsidRDefault="001448AE" w:rsidP="009F1151"/>
    <w:p w:rsidR="00C44F77" w:rsidRPr="009F53D9" w:rsidRDefault="007035E5" w:rsidP="00B063BC">
      <w:pPr>
        <w:jc w:val="center"/>
      </w:pPr>
      <w:bookmarkStart w:id="0" w:name="_GoBack"/>
      <w:bookmarkEnd w:id="0"/>
      <w:r w:rsidRPr="009F53D9">
        <w:lastRenderedPageBreak/>
        <w:t>References</w:t>
      </w:r>
    </w:p>
    <w:p w:rsidR="00A6255C" w:rsidRDefault="00A6255C" w:rsidP="00B063BC">
      <w:pPr>
        <w:ind w:left="720" w:hanging="720"/>
        <w:rPr>
          <w:i/>
          <w:iCs/>
          <w:color w:val="000000"/>
          <w:shd w:val="clear" w:color="auto" w:fill="FFFFFF"/>
        </w:rPr>
      </w:pPr>
      <w:r w:rsidRPr="00CA561F">
        <w:rPr>
          <w:color w:val="000000"/>
          <w:shd w:val="clear" w:color="auto" w:fill="FFFFFF"/>
        </w:rPr>
        <w:t>Ismaili, K. (2006). </w:t>
      </w:r>
      <w:r w:rsidRPr="00CA561F">
        <w:rPr>
          <w:iCs/>
          <w:color w:val="000000"/>
          <w:shd w:val="clear" w:color="auto" w:fill="FFFFFF"/>
        </w:rPr>
        <w:t>Contextualizing the criminal justice policy-making process</w:t>
      </w:r>
      <w:r w:rsidRPr="00CA561F">
        <w:rPr>
          <w:i/>
          <w:iCs/>
          <w:color w:val="000000"/>
          <w:shd w:val="clear" w:color="auto" w:fill="FFFFFF"/>
        </w:rPr>
        <w:t>. Criminal Justice Policy Review, 17(3), 255–269.</w:t>
      </w:r>
    </w:p>
    <w:p w:rsidR="00A6255C" w:rsidRPr="00C85122" w:rsidRDefault="00A6255C" w:rsidP="00B063BC">
      <w:pPr>
        <w:ind w:left="720" w:hanging="720"/>
      </w:pPr>
      <w:r w:rsidRPr="00C85122">
        <w:rPr>
          <w:color w:val="000000"/>
          <w:shd w:val="clear" w:color="auto" w:fill="FFFFFF"/>
        </w:rPr>
        <w:t xml:space="preserve">Mansour, A. (2010). Use of ‘policy analysis' to improve the quality of policy-making by  </w:t>
      </w:r>
      <w:r w:rsidR="00BE73D9">
        <w:rPr>
          <w:color w:val="000000"/>
          <w:shd w:val="clear" w:color="auto" w:fill="FFFFFF"/>
        </w:rPr>
        <w:t xml:space="preserve">the </w:t>
      </w:r>
      <w:r w:rsidRPr="00C85122">
        <w:rPr>
          <w:color w:val="000000"/>
          <w:shd w:val="clear" w:color="auto" w:fill="FFFFFF"/>
        </w:rPr>
        <w:t xml:space="preserve">government and non-governmental organizations. </w:t>
      </w:r>
      <w:r w:rsidRPr="00C85122">
        <w:rPr>
          <w:i/>
          <w:iCs/>
          <w:color w:val="000000"/>
          <w:shd w:val="clear" w:color="auto" w:fill="FFFFFF"/>
        </w:rPr>
        <w:t>VersloIrTeisėsAktualijos</w:t>
      </w:r>
      <w:r w:rsidRPr="00C85122">
        <w:rPr>
          <w:color w:val="000000"/>
          <w:shd w:val="clear" w:color="auto" w:fill="FFFFFF"/>
        </w:rPr>
        <w:t>, </w:t>
      </w:r>
      <w:r w:rsidRPr="00C85122">
        <w:rPr>
          <w:i/>
          <w:iCs/>
          <w:color w:val="000000"/>
          <w:shd w:val="clear" w:color="auto" w:fill="FFFFFF"/>
        </w:rPr>
        <w:t>6</w:t>
      </w:r>
      <w:r w:rsidRPr="00C85122">
        <w:rPr>
          <w:color w:val="000000"/>
          <w:shd w:val="clear" w:color="auto" w:fill="FFFFFF"/>
        </w:rPr>
        <w:t xml:space="preserve">(1), 159-183. </w:t>
      </w:r>
    </w:p>
    <w:p w:rsidR="00A6255C" w:rsidRDefault="00BA2B98" w:rsidP="00B063BC">
      <w:pPr>
        <w:ind w:left="720" w:hanging="720"/>
      </w:pPr>
      <w:r>
        <w:t>Marion, N. E. (2016</w:t>
      </w:r>
      <w:r w:rsidR="00A6255C">
        <w:t xml:space="preserve">). </w:t>
      </w:r>
      <w:r w:rsidR="00A6255C" w:rsidRPr="00CA561F">
        <w:rPr>
          <w:i/>
        </w:rPr>
        <w:t>Criminal justice in America: The politics behind the system</w:t>
      </w:r>
      <w:r w:rsidR="00A6255C">
        <w:t>. Durham, NC: Carolina Academic Press.</w:t>
      </w:r>
    </w:p>
    <w:p w:rsidR="00A6255C" w:rsidRPr="00CA561F" w:rsidRDefault="00BC7A30" w:rsidP="00B063BC">
      <w:pPr>
        <w:ind w:left="720" w:hanging="720"/>
        <w:rPr>
          <w:color w:val="222222"/>
          <w:shd w:val="clear" w:color="auto" w:fill="FFFFFF"/>
        </w:rPr>
      </w:pPr>
      <w:r>
        <w:t>Stolz, B. A. (2015</w:t>
      </w:r>
      <w:r w:rsidR="00A6255C">
        <w:t xml:space="preserve">). </w:t>
      </w:r>
      <w:r w:rsidR="00A6255C" w:rsidRPr="00CA561F">
        <w:rPr>
          <w:i/>
        </w:rPr>
        <w:t>Criminal justice policymaking: Federal roles and processes</w:t>
      </w:r>
      <w:r w:rsidR="00A6255C">
        <w:t>. Westport, CT: Praeger.</w:t>
      </w:r>
    </w:p>
    <w:p w:rsidR="00A6255C" w:rsidRDefault="00C71E5C" w:rsidP="00B063BC">
      <w:pPr>
        <w:ind w:left="720" w:hanging="720"/>
      </w:pPr>
      <w:r>
        <w:t>Stone, D. (2015</w:t>
      </w:r>
      <w:r w:rsidR="00A6255C">
        <w:t xml:space="preserve">). </w:t>
      </w:r>
      <w:r w:rsidR="00A6255C" w:rsidRPr="00CA561F">
        <w:rPr>
          <w:i/>
        </w:rPr>
        <w:t>Policy paradox and political reason.</w:t>
      </w:r>
      <w:r w:rsidR="00A6255C">
        <w:t xml:space="preserve"> Boston: Scott, Foresman/Little</w:t>
      </w:r>
    </w:p>
    <w:sectPr w:rsidR="00A6255C"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4971" w:rsidRDefault="002A4971">
      <w:pPr>
        <w:spacing w:after="0" w:line="240" w:lineRule="auto"/>
      </w:pPr>
      <w:r>
        <w:separator/>
      </w:r>
    </w:p>
  </w:endnote>
  <w:endnote w:type="continuationSeparator" w:id="1">
    <w:p w:rsidR="002A4971" w:rsidRDefault="002A49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4971" w:rsidRDefault="002A4971">
      <w:pPr>
        <w:spacing w:after="0" w:line="240" w:lineRule="auto"/>
      </w:pPr>
      <w:r>
        <w:separator/>
      </w:r>
    </w:p>
  </w:footnote>
  <w:footnote w:type="continuationSeparator" w:id="1">
    <w:p w:rsidR="002A4971" w:rsidRDefault="002A49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6E645A" w:rsidRDefault="007035E5" w:rsidP="00E6471C">
        <w:r w:rsidRPr="00E6471C">
          <w:t>THE CRIMINAL JUSTICE POLICY PROCESS</w:t>
        </w:r>
        <w:r>
          <w:tab/>
        </w:r>
        <w:r>
          <w:tab/>
        </w:r>
        <w:r>
          <w:tab/>
        </w:r>
        <w:r>
          <w:tab/>
        </w:r>
        <w:r>
          <w:tab/>
        </w:r>
        <w:r>
          <w:tab/>
        </w:r>
        <w:r w:rsidR="009F1151">
          <w:t xml:space="preserve">    </w:t>
        </w:r>
        <w:r w:rsidR="001B2D50">
          <w:fldChar w:fldCharType="begin"/>
        </w:r>
        <w:r w:rsidR="001665DC">
          <w:instrText xml:space="preserve"> PAGE   \* MERGEFORMAT </w:instrText>
        </w:r>
        <w:r w:rsidR="001B2D50">
          <w:fldChar w:fldCharType="separate"/>
        </w:r>
        <w:r w:rsidR="009712E6">
          <w:rPr>
            <w:noProof/>
          </w:rPr>
          <w:t>6</w:t>
        </w:r>
        <w:r w:rsidR="001B2D50">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5A" w:rsidRDefault="007035E5" w:rsidP="00E6471C">
    <w:r>
      <w:t>Running head:</w:t>
    </w:r>
    <w:r w:rsidR="009712E6">
      <w:t xml:space="preserve"> </w:t>
    </w:r>
    <w:r w:rsidR="00E6471C" w:rsidRPr="00E6471C">
      <w:t>THE CRIMINAL JUSTICE POLICY PROCESS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7BBE"/>
    <w:rsid w:val="00021523"/>
    <w:rsid w:val="00025EF1"/>
    <w:rsid w:val="00055CFC"/>
    <w:rsid w:val="00057F2F"/>
    <w:rsid w:val="000633C3"/>
    <w:rsid w:val="00080377"/>
    <w:rsid w:val="00097EB2"/>
    <w:rsid w:val="000A1889"/>
    <w:rsid w:val="000A28BE"/>
    <w:rsid w:val="000A28F8"/>
    <w:rsid w:val="000A3D9F"/>
    <w:rsid w:val="000B6CB1"/>
    <w:rsid w:val="000C0711"/>
    <w:rsid w:val="000C7742"/>
    <w:rsid w:val="000D0FD1"/>
    <w:rsid w:val="000D11F3"/>
    <w:rsid w:val="000E24F1"/>
    <w:rsid w:val="000E5BA3"/>
    <w:rsid w:val="000E77DD"/>
    <w:rsid w:val="000F175A"/>
    <w:rsid w:val="00104288"/>
    <w:rsid w:val="00117B15"/>
    <w:rsid w:val="001202A1"/>
    <w:rsid w:val="00132C56"/>
    <w:rsid w:val="00136B53"/>
    <w:rsid w:val="001448AE"/>
    <w:rsid w:val="00145BBD"/>
    <w:rsid w:val="00151B37"/>
    <w:rsid w:val="0016027A"/>
    <w:rsid w:val="001665DC"/>
    <w:rsid w:val="0018123B"/>
    <w:rsid w:val="001812E5"/>
    <w:rsid w:val="001829BE"/>
    <w:rsid w:val="001A2D17"/>
    <w:rsid w:val="001B2D50"/>
    <w:rsid w:val="001B3D3D"/>
    <w:rsid w:val="001C595D"/>
    <w:rsid w:val="001D1A56"/>
    <w:rsid w:val="001D4C24"/>
    <w:rsid w:val="001F648A"/>
    <w:rsid w:val="001F75D6"/>
    <w:rsid w:val="00222A91"/>
    <w:rsid w:val="00224B84"/>
    <w:rsid w:val="00230C0D"/>
    <w:rsid w:val="00234367"/>
    <w:rsid w:val="00257328"/>
    <w:rsid w:val="00263056"/>
    <w:rsid w:val="002A004A"/>
    <w:rsid w:val="002A3C91"/>
    <w:rsid w:val="002A4929"/>
    <w:rsid w:val="002A4971"/>
    <w:rsid w:val="002A49CA"/>
    <w:rsid w:val="002D0716"/>
    <w:rsid w:val="002D0EC8"/>
    <w:rsid w:val="002E4995"/>
    <w:rsid w:val="002E603C"/>
    <w:rsid w:val="002F24F6"/>
    <w:rsid w:val="002F7689"/>
    <w:rsid w:val="0031489A"/>
    <w:rsid w:val="0031680E"/>
    <w:rsid w:val="00321B59"/>
    <w:rsid w:val="00322AEA"/>
    <w:rsid w:val="003302F4"/>
    <w:rsid w:val="00334B48"/>
    <w:rsid w:val="00342CCC"/>
    <w:rsid w:val="00357296"/>
    <w:rsid w:val="003600EC"/>
    <w:rsid w:val="00361D82"/>
    <w:rsid w:val="00385355"/>
    <w:rsid w:val="003915AD"/>
    <w:rsid w:val="003961EF"/>
    <w:rsid w:val="00397A6A"/>
    <w:rsid w:val="003A19E7"/>
    <w:rsid w:val="003A65D1"/>
    <w:rsid w:val="003C2B59"/>
    <w:rsid w:val="003D0B76"/>
    <w:rsid w:val="003D4802"/>
    <w:rsid w:val="003E5EF4"/>
    <w:rsid w:val="0041022E"/>
    <w:rsid w:val="004102E5"/>
    <w:rsid w:val="00427744"/>
    <w:rsid w:val="00434C05"/>
    <w:rsid w:val="00440CB3"/>
    <w:rsid w:val="00447446"/>
    <w:rsid w:val="00453D48"/>
    <w:rsid w:val="004659B4"/>
    <w:rsid w:val="004668F5"/>
    <w:rsid w:val="00481292"/>
    <w:rsid w:val="004858FB"/>
    <w:rsid w:val="004A1DEA"/>
    <w:rsid w:val="004B0B3D"/>
    <w:rsid w:val="004D039F"/>
    <w:rsid w:val="004D6941"/>
    <w:rsid w:val="004E1B08"/>
    <w:rsid w:val="004E3DF2"/>
    <w:rsid w:val="005235EF"/>
    <w:rsid w:val="00524F48"/>
    <w:rsid w:val="00544949"/>
    <w:rsid w:val="00546781"/>
    <w:rsid w:val="00547C4F"/>
    <w:rsid w:val="0056340C"/>
    <w:rsid w:val="00574622"/>
    <w:rsid w:val="005759B2"/>
    <w:rsid w:val="0058293C"/>
    <w:rsid w:val="00586986"/>
    <w:rsid w:val="005A5B60"/>
    <w:rsid w:val="005A62AB"/>
    <w:rsid w:val="005B0303"/>
    <w:rsid w:val="005B4525"/>
    <w:rsid w:val="005D3813"/>
    <w:rsid w:val="005D513D"/>
    <w:rsid w:val="005D5D22"/>
    <w:rsid w:val="005E00DE"/>
    <w:rsid w:val="005E1FF7"/>
    <w:rsid w:val="005F6946"/>
    <w:rsid w:val="005F6D98"/>
    <w:rsid w:val="00610895"/>
    <w:rsid w:val="00620B74"/>
    <w:rsid w:val="00635D23"/>
    <w:rsid w:val="0064247D"/>
    <w:rsid w:val="00645A99"/>
    <w:rsid w:val="006460CC"/>
    <w:rsid w:val="0065564E"/>
    <w:rsid w:val="00656420"/>
    <w:rsid w:val="006601FC"/>
    <w:rsid w:val="006638AE"/>
    <w:rsid w:val="00663AC1"/>
    <w:rsid w:val="00663D91"/>
    <w:rsid w:val="006A6142"/>
    <w:rsid w:val="006B3F96"/>
    <w:rsid w:val="006C3052"/>
    <w:rsid w:val="006E3678"/>
    <w:rsid w:val="006E645A"/>
    <w:rsid w:val="006F53BC"/>
    <w:rsid w:val="00700E24"/>
    <w:rsid w:val="007035E5"/>
    <w:rsid w:val="00711CFF"/>
    <w:rsid w:val="00737AC5"/>
    <w:rsid w:val="00750213"/>
    <w:rsid w:val="00756A7A"/>
    <w:rsid w:val="00774A0C"/>
    <w:rsid w:val="007B1946"/>
    <w:rsid w:val="007B4FDA"/>
    <w:rsid w:val="007B5E9A"/>
    <w:rsid w:val="007C7485"/>
    <w:rsid w:val="007D0FC2"/>
    <w:rsid w:val="007F58ED"/>
    <w:rsid w:val="0081121C"/>
    <w:rsid w:val="00817957"/>
    <w:rsid w:val="00823C99"/>
    <w:rsid w:val="008262EC"/>
    <w:rsid w:val="00827633"/>
    <w:rsid w:val="008326AE"/>
    <w:rsid w:val="008434F0"/>
    <w:rsid w:val="008455A8"/>
    <w:rsid w:val="0085009E"/>
    <w:rsid w:val="008550D3"/>
    <w:rsid w:val="00873556"/>
    <w:rsid w:val="0087639A"/>
    <w:rsid w:val="00884FE3"/>
    <w:rsid w:val="00885034"/>
    <w:rsid w:val="008A10CE"/>
    <w:rsid w:val="008A1D4E"/>
    <w:rsid w:val="008B19F5"/>
    <w:rsid w:val="008B4730"/>
    <w:rsid w:val="008C0300"/>
    <w:rsid w:val="008C1D8D"/>
    <w:rsid w:val="008F6CB3"/>
    <w:rsid w:val="00902D41"/>
    <w:rsid w:val="00905E28"/>
    <w:rsid w:val="00907D11"/>
    <w:rsid w:val="00921EA8"/>
    <w:rsid w:val="00921EED"/>
    <w:rsid w:val="009345A9"/>
    <w:rsid w:val="009413E2"/>
    <w:rsid w:val="0094448C"/>
    <w:rsid w:val="009470B1"/>
    <w:rsid w:val="009479B9"/>
    <w:rsid w:val="00956DC6"/>
    <w:rsid w:val="00961D5F"/>
    <w:rsid w:val="00963766"/>
    <w:rsid w:val="00963985"/>
    <w:rsid w:val="009712E6"/>
    <w:rsid w:val="00972981"/>
    <w:rsid w:val="00983B25"/>
    <w:rsid w:val="00987C5D"/>
    <w:rsid w:val="00996BB8"/>
    <w:rsid w:val="009E15C8"/>
    <w:rsid w:val="009E4A1D"/>
    <w:rsid w:val="009F1151"/>
    <w:rsid w:val="009F193D"/>
    <w:rsid w:val="009F5157"/>
    <w:rsid w:val="009F53D9"/>
    <w:rsid w:val="00A26612"/>
    <w:rsid w:val="00A276DF"/>
    <w:rsid w:val="00A35A96"/>
    <w:rsid w:val="00A608F2"/>
    <w:rsid w:val="00A6255C"/>
    <w:rsid w:val="00A67384"/>
    <w:rsid w:val="00A8277A"/>
    <w:rsid w:val="00AA6357"/>
    <w:rsid w:val="00AF7A25"/>
    <w:rsid w:val="00B053A3"/>
    <w:rsid w:val="00B05C6A"/>
    <w:rsid w:val="00B05EFF"/>
    <w:rsid w:val="00B061F6"/>
    <w:rsid w:val="00B063BC"/>
    <w:rsid w:val="00B10364"/>
    <w:rsid w:val="00B17335"/>
    <w:rsid w:val="00B21E86"/>
    <w:rsid w:val="00B27CBD"/>
    <w:rsid w:val="00B33666"/>
    <w:rsid w:val="00B34D51"/>
    <w:rsid w:val="00B43A39"/>
    <w:rsid w:val="00B441CA"/>
    <w:rsid w:val="00B44B82"/>
    <w:rsid w:val="00B478B4"/>
    <w:rsid w:val="00B612A0"/>
    <w:rsid w:val="00B64B8C"/>
    <w:rsid w:val="00B82880"/>
    <w:rsid w:val="00B861A6"/>
    <w:rsid w:val="00B90381"/>
    <w:rsid w:val="00B9711B"/>
    <w:rsid w:val="00BA2B98"/>
    <w:rsid w:val="00BB7AC2"/>
    <w:rsid w:val="00BC2255"/>
    <w:rsid w:val="00BC7A30"/>
    <w:rsid w:val="00BE3A9D"/>
    <w:rsid w:val="00BE435B"/>
    <w:rsid w:val="00BE73D9"/>
    <w:rsid w:val="00C03C25"/>
    <w:rsid w:val="00C115DD"/>
    <w:rsid w:val="00C22E81"/>
    <w:rsid w:val="00C23BA5"/>
    <w:rsid w:val="00C30D95"/>
    <w:rsid w:val="00C4349F"/>
    <w:rsid w:val="00C44F77"/>
    <w:rsid w:val="00C6395A"/>
    <w:rsid w:val="00C63C77"/>
    <w:rsid w:val="00C6577B"/>
    <w:rsid w:val="00C71E5C"/>
    <w:rsid w:val="00C74A03"/>
    <w:rsid w:val="00C8251C"/>
    <w:rsid w:val="00C85122"/>
    <w:rsid w:val="00C85583"/>
    <w:rsid w:val="00CA23CD"/>
    <w:rsid w:val="00CA255F"/>
    <w:rsid w:val="00CA561F"/>
    <w:rsid w:val="00CE088C"/>
    <w:rsid w:val="00CE51EF"/>
    <w:rsid w:val="00CF15A4"/>
    <w:rsid w:val="00CF78C0"/>
    <w:rsid w:val="00D011D3"/>
    <w:rsid w:val="00D01DA9"/>
    <w:rsid w:val="00D03A8A"/>
    <w:rsid w:val="00D042E7"/>
    <w:rsid w:val="00D12C1C"/>
    <w:rsid w:val="00D344A6"/>
    <w:rsid w:val="00D37A8F"/>
    <w:rsid w:val="00D45ADA"/>
    <w:rsid w:val="00D51647"/>
    <w:rsid w:val="00D665DD"/>
    <w:rsid w:val="00D72F84"/>
    <w:rsid w:val="00D8570C"/>
    <w:rsid w:val="00D93B1E"/>
    <w:rsid w:val="00D96D49"/>
    <w:rsid w:val="00DB5576"/>
    <w:rsid w:val="00DD0859"/>
    <w:rsid w:val="00DE37B6"/>
    <w:rsid w:val="00DF1B91"/>
    <w:rsid w:val="00DF44CF"/>
    <w:rsid w:val="00DF69C9"/>
    <w:rsid w:val="00E0070A"/>
    <w:rsid w:val="00E00DD9"/>
    <w:rsid w:val="00E03E9F"/>
    <w:rsid w:val="00E072DB"/>
    <w:rsid w:val="00E207A4"/>
    <w:rsid w:val="00E25A90"/>
    <w:rsid w:val="00E25B15"/>
    <w:rsid w:val="00E41D8A"/>
    <w:rsid w:val="00E47109"/>
    <w:rsid w:val="00E6471C"/>
    <w:rsid w:val="00E716E6"/>
    <w:rsid w:val="00E84312"/>
    <w:rsid w:val="00E854CA"/>
    <w:rsid w:val="00EA0E9D"/>
    <w:rsid w:val="00EA1464"/>
    <w:rsid w:val="00EC067F"/>
    <w:rsid w:val="00EC4F83"/>
    <w:rsid w:val="00ED6AB9"/>
    <w:rsid w:val="00EE2A82"/>
    <w:rsid w:val="00F01648"/>
    <w:rsid w:val="00F12910"/>
    <w:rsid w:val="00F57C0A"/>
    <w:rsid w:val="00F71181"/>
    <w:rsid w:val="00F912C5"/>
    <w:rsid w:val="00F95783"/>
    <w:rsid w:val="00FA1A8E"/>
    <w:rsid w:val="00FA1C34"/>
    <w:rsid w:val="00FC4977"/>
    <w:rsid w:val="00FD2959"/>
    <w:rsid w:val="00FD465E"/>
    <w:rsid w:val="00FE1D75"/>
    <w:rsid w:val="00FF00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1527</Words>
  <Characters>8710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2019-03-27T08:12:00Z</dcterms:created>
  <dcterms:modified xsi:type="dcterms:W3CDTF">2019-03-27T08:12:00Z</dcterms:modified>
</cp:coreProperties>
</file>